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before="0" w:after="0"/>
        <w:ind w:left="3402" w:hanging="0"/>
        <w:rPr>
          <w:rFonts w:ascii="Arial" w:hAnsi="Arial" w:eastAsia="Arial" w:cs="Arial"/>
          <w:b/>
          <w:b/>
          <w:color w:val="000000"/>
          <w:highlight w:val="yellow"/>
        </w:rPr>
      </w:pPr>
      <w:r>
        <w:drawing>
          <wp:anchor behindDoc="0" distT="0" distB="0" distL="0" distR="0" simplePos="0" locked="0" layoutInCell="0" allowOverlap="1" relativeHeight="3">
            <wp:simplePos x="0" y="0"/>
            <wp:positionH relativeFrom="column">
              <wp:posOffset>-735965</wp:posOffset>
            </wp:positionH>
            <wp:positionV relativeFrom="paragraph">
              <wp:posOffset>-742950</wp:posOffset>
            </wp:positionV>
            <wp:extent cx="1131570" cy="14268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131570" cy="1426845"/>
                    </a:xfrm>
                    <a:prstGeom prst="rect">
                      <a:avLst/>
                    </a:prstGeom>
                  </pic:spPr>
                </pic:pic>
              </a:graphicData>
            </a:graphic>
          </wp:anchor>
        </w:drawing>
      </w:r>
      <w:r>
        <w:rPr>
          <w:rFonts w:eastAsia="Arial" w:cs="Arial" w:ascii="Arial" w:hAnsi="Arial"/>
          <w:b/>
          <w:color w:val="000000"/>
          <w:highlight w:val="yellow"/>
        </w:rPr>
        <w:t>Club ou Collectivité</w:t>
      </w:r>
    </w:p>
    <w:p>
      <w:pPr>
        <w:pStyle w:val="LOnormal"/>
        <w:spacing w:lineRule="auto" w:line="240" w:before="0" w:after="0"/>
        <w:ind w:left="3402" w:hanging="0"/>
        <w:rPr>
          <w:rFonts w:ascii="Arial" w:hAnsi="Arial" w:eastAsia="Arial" w:cs="Arial"/>
          <w:color w:val="000000"/>
          <w:highlight w:val="yellow"/>
        </w:rPr>
      </w:pPr>
      <w:r>
        <w:rPr>
          <w:rFonts w:eastAsia="Arial" w:cs="Arial" w:ascii="Arial" w:hAnsi="Arial"/>
          <w:color w:val="000000"/>
          <w:highlight w:val="yellow"/>
        </w:rPr>
        <w:t>Civilité</w:t>
      </w:r>
    </w:p>
    <w:p>
      <w:pPr>
        <w:pStyle w:val="LOnormal"/>
        <w:spacing w:lineRule="auto" w:line="240" w:before="0" w:after="0"/>
        <w:ind w:left="3402" w:hanging="0"/>
        <w:rPr>
          <w:rFonts w:ascii="Arial" w:hAnsi="Arial" w:eastAsia="Arial" w:cs="Arial"/>
          <w:color w:val="000000"/>
          <w:highlight w:val="yellow"/>
        </w:rPr>
      </w:pPr>
      <w:r>
        <w:rPr>
          <w:rFonts w:eastAsia="Arial" w:cs="Arial" w:ascii="Arial" w:hAnsi="Arial"/>
          <w:color w:val="000000"/>
          <w:highlight w:val="yellow"/>
        </w:rPr>
        <w:t>Adresse</w:t>
      </w:r>
    </w:p>
    <w:p>
      <w:pPr>
        <w:pStyle w:val="LOnormal"/>
        <w:spacing w:lineRule="auto" w:line="240" w:before="0" w:after="0"/>
        <w:ind w:left="3402" w:hanging="0"/>
        <w:rPr>
          <w:rFonts w:ascii="Arial" w:hAnsi="Arial" w:eastAsia="Arial" w:cs="Arial"/>
          <w:color w:val="000000"/>
        </w:rPr>
      </w:pPr>
      <w:r>
        <w:rPr>
          <w:rFonts w:eastAsia="Arial" w:cs="Arial" w:ascii="Arial" w:hAnsi="Arial"/>
          <w:color w:val="000000"/>
          <w:highlight w:val="yellow"/>
        </w:rPr>
        <w:t>CP Commune</w:t>
      </w:r>
    </w:p>
    <w:p>
      <w:pPr>
        <w:pStyle w:val="LOnormal"/>
        <w:spacing w:lineRule="auto" w:line="240" w:before="0" w:after="0"/>
        <w:ind w:left="-426" w:hanging="0"/>
        <w:jc w:val="both"/>
        <w:rPr>
          <w:rFonts w:ascii="Arial" w:hAnsi="Arial" w:eastAsia="Arial" w:cs="Arial"/>
          <w:color w:val="000000"/>
        </w:rPr>
      </w:pPr>
      <w:r>
        <w:rPr>
          <w:rFonts w:eastAsia="Arial" w:cs="Arial" w:ascii="Arial" w:hAnsi="Arial"/>
          <w:color w:val="000000"/>
        </w:rPr>
      </w:r>
    </w:p>
    <w:p>
      <w:pPr>
        <w:pStyle w:val="LOnormal"/>
        <w:spacing w:lineRule="auto" w:line="240" w:before="0" w:after="0"/>
        <w:ind w:left="-426" w:hanging="0"/>
        <w:jc w:val="both"/>
        <w:rPr>
          <w:rFonts w:ascii="Arial" w:hAnsi="Arial" w:eastAsia="Arial" w:cs="Arial"/>
          <w:color w:val="000000"/>
        </w:rPr>
      </w:pPr>
      <w:r>
        <w:rPr>
          <w:rFonts w:eastAsia="Arial" w:cs="Arial" w:ascii="Arial" w:hAnsi="Arial"/>
          <w:color w:val="000000"/>
        </w:rPr>
      </w:r>
    </w:p>
    <w:p>
      <w:pPr>
        <w:pStyle w:val="LOnormal"/>
        <w:spacing w:lineRule="auto" w:line="240" w:before="0" w:after="0"/>
        <w:ind w:left="-426" w:hanging="0"/>
        <w:jc w:val="both"/>
        <w:rPr>
          <w:rFonts w:ascii="Arial" w:hAnsi="Arial" w:eastAsia="Arial" w:cs="Arial"/>
          <w:color w:val="000000"/>
        </w:rPr>
      </w:pPr>
      <w:r>
        <w:rPr>
          <w:rFonts w:eastAsia="Arial" w:cs="Arial" w:ascii="Arial" w:hAnsi="Arial"/>
          <w:color w:val="000000"/>
        </w:rPr>
      </w:r>
    </w:p>
    <w:p>
      <w:pPr>
        <w:pStyle w:val="LOnormal"/>
        <w:spacing w:lineRule="auto" w:line="240" w:before="0" w:after="0"/>
        <w:ind w:left="-426" w:hanging="0"/>
        <w:jc w:val="both"/>
        <w:rPr>
          <w:rFonts w:ascii="Arial" w:hAnsi="Arial" w:eastAsia="Arial" w:cs="Arial"/>
          <w:color w:val="000000"/>
        </w:rPr>
      </w:pPr>
      <w:r>
        <w:rPr>
          <w:rFonts w:eastAsia="Arial" w:cs="Arial" w:ascii="Arial" w:hAnsi="Arial"/>
          <w:color w:val="000000"/>
        </w:rPr>
      </w:r>
    </w:p>
    <w:p>
      <w:pPr>
        <w:pStyle w:val="LOnormal"/>
        <w:spacing w:lineRule="auto" w:line="240" w:before="0" w:after="0"/>
        <w:ind w:left="-426" w:hanging="0"/>
        <w:jc w:val="both"/>
        <w:rPr>
          <w:rFonts w:ascii="Arial" w:hAnsi="Arial" w:eastAsia="Arial" w:cs="Arial"/>
          <w:color w:val="000000"/>
        </w:rPr>
      </w:pPr>
      <w:r>
        <w:rPr>
          <w:rFonts w:eastAsia="Arial" w:cs="Arial" w:ascii="Arial" w:hAnsi="Arial"/>
          <w:color w:val="000000"/>
        </w:rPr>
        <w:t>Chambéry, le 08 Septembre 2024</w:t>
      </w:r>
    </w:p>
    <w:p>
      <w:pPr>
        <w:pStyle w:val="LOnormal"/>
        <w:spacing w:lineRule="auto" w:line="240" w:before="0" w:after="0"/>
        <w:ind w:left="-426" w:hanging="0"/>
        <w:jc w:val="both"/>
        <w:rPr>
          <w:rFonts w:ascii="Arial" w:hAnsi="Arial" w:eastAsia="Arial" w:cs="Arial"/>
          <w:color w:val="000000"/>
        </w:rPr>
      </w:pPr>
      <w:r>
        <w:rPr>
          <w:rFonts w:eastAsia="Arial" w:cs="Arial" w:ascii="Arial" w:hAnsi="Arial"/>
          <w:color w:val="000000"/>
        </w:rPr>
      </w:r>
    </w:p>
    <w:p>
      <w:pPr>
        <w:pStyle w:val="LOnormal"/>
        <w:spacing w:lineRule="auto" w:line="240" w:before="0" w:after="0"/>
        <w:ind w:left="-426" w:hanging="0"/>
        <w:jc w:val="both"/>
        <w:rPr>
          <w:rFonts w:ascii="Arial" w:hAnsi="Arial" w:eastAsia="Arial" w:cs="Arial"/>
        </w:rPr>
      </w:pPr>
      <w:r>
        <w:rPr>
          <w:rFonts w:eastAsia="Arial" w:cs="Arial" w:ascii="Arial" w:hAnsi="Arial"/>
          <w:b/>
          <w:u w:val="single"/>
        </w:rPr>
        <w:t>Nos réf :</w:t>
      </w:r>
      <w:r>
        <w:rPr>
          <w:rFonts w:eastAsia="Arial" w:cs="Arial" w:ascii="Arial" w:hAnsi="Arial"/>
        </w:rPr>
        <w:t xml:space="preserve"> </w:t>
      </w:r>
      <w:r>
        <w:rPr>
          <w:rFonts w:eastAsia="Arial" w:cs="Arial" w:ascii="Arial" w:hAnsi="Arial"/>
          <w:highlight w:val="yellow"/>
        </w:rPr>
        <w:t>XX/XX/X</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b/>
          <w:u w:val="single"/>
        </w:rPr>
        <w:t>Objet :</w:t>
      </w:r>
      <w:r>
        <w:rPr>
          <w:rFonts w:eastAsia="Arial" w:cs="Arial" w:ascii="Arial" w:hAnsi="Arial"/>
        </w:rPr>
        <w:t xml:space="preserve"> Classement des salles et terrains – Rappel de l’organisation et des conditions</w:t>
      </w:r>
    </w:p>
    <w:p>
      <w:pPr>
        <w:pStyle w:val="LOnormal"/>
        <w:spacing w:lineRule="auto" w:line="240" w:before="0" w:after="0"/>
        <w:ind w:left="-426" w:hanging="0"/>
        <w:jc w:val="both"/>
        <w:rPr>
          <w:rFonts w:ascii="Arial" w:hAnsi="Arial" w:eastAsia="Arial" w:cs="Arial"/>
          <w:i/>
          <w:i/>
        </w:rPr>
      </w:pPr>
      <w:r>
        <w:rPr>
          <w:rFonts w:eastAsia="Arial" w:cs="Arial" w:ascii="Arial" w:hAnsi="Arial"/>
          <w:i/>
        </w:rPr>
      </w:r>
    </w:p>
    <w:p>
      <w:pPr>
        <w:pStyle w:val="LOnormal"/>
        <w:spacing w:lineRule="auto" w:line="240" w:before="0" w:after="0"/>
        <w:ind w:left="-426" w:hanging="0"/>
        <w:jc w:val="both"/>
        <w:rPr>
          <w:rFonts w:ascii="Arial" w:hAnsi="Arial" w:eastAsia="Arial" w:cs="Arial"/>
          <w:i/>
          <w:i/>
        </w:rPr>
      </w:pPr>
      <w:r>
        <w:rPr>
          <w:rFonts w:eastAsia="Arial" w:cs="Arial" w:ascii="Arial" w:hAnsi="Arial"/>
          <w:i/>
        </w:rPr>
        <w:t xml:space="preserve">Dossier suivi par : </w:t>
      </w:r>
      <w:r>
        <w:rPr>
          <w:rFonts w:eastAsia="Arial" w:cs="Arial" w:ascii="Arial" w:hAnsi="Arial"/>
          <w:i/>
          <w:highlight w:val="yellow"/>
        </w:rPr>
        <w:t>XXXXXX</w:t>
      </w:r>
    </w:p>
    <w:p>
      <w:pPr>
        <w:pStyle w:val="LOnormal"/>
        <w:spacing w:lineRule="auto" w:line="240" w:before="0" w:after="0"/>
        <w:ind w:left="-426" w:hanging="0"/>
        <w:jc w:val="both"/>
        <w:rPr>
          <w:rFonts w:ascii="Arial" w:hAnsi="Arial" w:eastAsia="Arial" w:cs="Arial"/>
          <w:i/>
          <w:i/>
        </w:rPr>
      </w:pPr>
      <w:r>
        <w:rPr>
          <w:rFonts w:eastAsia="Arial" w:cs="Arial" w:ascii="Arial" w:hAnsi="Arial"/>
          <w:i/>
        </w:rPr>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highlight w:val="yellow"/>
        </w:rPr>
        <w:t>Civilité,</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Le règlement des salles et terrains de la Fédération Française de BasketBall prévoit dans son article premier que les actions et manifestations organisées sous son égide - ou sous l’égide de l’un de ses organes déconcentrés (comité départemental ou territorial, ligue régionale) – ou d’un club affilié doit être pratiqué obligatoirement dans une salle ou un terrain bénéficiant d’un classement fédéral.</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bookmarkStart w:id="0" w:name="_heading=h.gjdgxs"/>
      <w:bookmarkEnd w:id="0"/>
      <w:r>
        <w:rPr>
          <w:rFonts w:eastAsia="Arial" w:cs="Arial" w:ascii="Arial" w:hAnsi="Arial"/>
        </w:rPr>
        <w:t>A défaut, et sur instruction de la Commission Fédérale Equipement, une demande de dérogation peut être formulée.</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Il apparait aujourd’hui nécessaire de rappeler les conditions de classement de ces installations.</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b/>
          <w:b/>
          <w:u w:val="single"/>
        </w:rPr>
      </w:pPr>
      <w:r>
        <w:rPr>
          <w:rFonts w:eastAsia="Arial" w:cs="Arial" w:ascii="Arial" w:hAnsi="Arial"/>
          <w:b/>
          <w:u w:val="single"/>
        </w:rPr>
        <w:t>1°) Le champ des équipements concernés</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A ce jour, le règlement des salles et terrains prévoit le classement des installations sportives pour la pratique des disciplines du 5x5 et du 3x3. Ces deux pratiques se déroulent sur des surfaces de jeu présentant des points communs et des différenciations.</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 xml:space="preserve">Le </w:t>
      </w:r>
      <w:r>
        <w:rPr>
          <w:rFonts w:eastAsia="Arial" w:cs="Arial" w:ascii="Arial" w:hAnsi="Arial"/>
          <w:b/>
        </w:rPr>
        <w:t>classement des salles</w:t>
      </w:r>
      <w:r>
        <w:rPr>
          <w:rFonts w:eastAsia="Arial" w:cs="Arial" w:ascii="Arial" w:hAnsi="Arial"/>
        </w:rPr>
        <w:t xml:space="preserve"> concerne les équipements couverts avec des terrains de 5x5 : </w:t>
      </w:r>
    </w:p>
    <w:p>
      <w:pPr>
        <w:pStyle w:val="LOnormal"/>
        <w:numPr>
          <w:ilvl w:val="0"/>
          <w:numId w:val="2"/>
        </w:numPr>
        <w:spacing w:lineRule="auto" w:line="240" w:before="0" w:after="0"/>
        <w:ind w:left="-66" w:hanging="360"/>
        <w:jc w:val="both"/>
        <w:rPr>
          <w:rFonts w:ascii="Arial" w:hAnsi="Arial" w:eastAsia="Arial" w:cs="Arial"/>
        </w:rPr>
      </w:pPr>
      <w:r>
        <w:rPr>
          <w:rFonts w:eastAsia="Arial" w:cs="Arial" w:ascii="Arial" w:hAnsi="Arial"/>
        </w:rPr>
        <w:t>3 niveaux de classement sont possibles (H1, H2, H3) permettant la pratique en compétition mais à des niveaux différents ;</w:t>
      </w:r>
    </w:p>
    <w:p>
      <w:pPr>
        <w:pStyle w:val="LOnormal"/>
        <w:numPr>
          <w:ilvl w:val="0"/>
          <w:numId w:val="2"/>
        </w:numPr>
        <w:spacing w:lineRule="auto" w:line="240" w:before="0" w:after="0"/>
        <w:ind w:left="-66" w:hanging="360"/>
        <w:jc w:val="both"/>
        <w:rPr>
          <w:rFonts w:ascii="Arial" w:hAnsi="Arial" w:eastAsia="Arial" w:cs="Arial"/>
        </w:rPr>
      </w:pPr>
      <w:r>
        <w:rPr>
          <w:rFonts w:eastAsia="Arial" w:cs="Arial" w:ascii="Arial" w:hAnsi="Arial"/>
        </w:rPr>
        <w:t>Par ailleurs, des équivalences sont possibles pour la pratique du 3x3 en compétition dès lors que la salle est classée à minima H1.</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 xml:space="preserve">Le </w:t>
      </w:r>
      <w:r>
        <w:rPr>
          <w:rFonts w:eastAsia="Arial" w:cs="Arial" w:ascii="Arial" w:hAnsi="Arial"/>
          <w:b/>
        </w:rPr>
        <w:t>classement des terrains</w:t>
      </w:r>
      <w:r>
        <w:rPr>
          <w:rFonts w:eastAsia="Arial" w:cs="Arial" w:ascii="Arial" w:hAnsi="Arial"/>
        </w:rPr>
        <w:t xml:space="preserve"> concerne les espaces de pratiques en extérieur, plus généralement appelés </w:t>
      </w:r>
      <w:r>
        <w:rPr>
          <w:rFonts w:eastAsia="Arial" w:cs="Arial" w:ascii="Arial" w:hAnsi="Arial"/>
          <w:i/>
        </w:rPr>
        <w:t>playground</w:t>
      </w:r>
      <w:r>
        <w:rPr>
          <w:rFonts w:eastAsia="Arial" w:cs="Arial" w:ascii="Arial" w:hAnsi="Arial"/>
        </w:rPr>
        <w:t xml:space="preserve">. </w:t>
      </w:r>
    </w:p>
    <w:p>
      <w:pPr>
        <w:pStyle w:val="LOnormal"/>
        <w:numPr>
          <w:ilvl w:val="0"/>
          <w:numId w:val="2"/>
        </w:numPr>
        <w:spacing w:lineRule="auto" w:line="240" w:before="0" w:after="0"/>
        <w:ind w:left="-66" w:hanging="360"/>
        <w:jc w:val="both"/>
        <w:rPr>
          <w:rFonts w:ascii="Arial" w:hAnsi="Arial" w:eastAsia="Arial" w:cs="Arial"/>
        </w:rPr>
      </w:pPr>
      <w:r>
        <w:rPr>
          <w:rFonts w:eastAsia="Arial" w:cs="Arial" w:ascii="Arial" w:hAnsi="Arial"/>
        </w:rPr>
        <w:t>Le niveau de classement varie entre T1 et T3 mais seul le classement T3 permet à ce jour la pratique en compétition du 3x3.</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Leur développement ces dernières années a conduit à une grande hétérogénéité de disposition :</w:t>
      </w:r>
    </w:p>
    <w:p>
      <w:pPr>
        <w:pStyle w:val="LOnormal"/>
        <w:numPr>
          <w:ilvl w:val="0"/>
          <w:numId w:val="1"/>
        </w:numPr>
        <w:spacing w:lineRule="auto" w:line="240" w:before="0" w:after="0"/>
        <w:ind w:left="-66" w:hanging="360"/>
        <w:jc w:val="both"/>
        <w:rPr>
          <w:rFonts w:ascii="Arial" w:hAnsi="Arial" w:eastAsia="Arial" w:cs="Arial"/>
        </w:rPr>
      </w:pPr>
      <w:r>
        <w:rPr>
          <w:rFonts w:eastAsia="Arial" w:cs="Arial" w:ascii="Arial" w:hAnsi="Arial"/>
        </w:rPr>
        <w:t>Des terrains uniquement pour la pratique du 3x3 ;</w:t>
      </w:r>
    </w:p>
    <w:p>
      <w:pPr>
        <w:pStyle w:val="LOnormal"/>
        <w:numPr>
          <w:ilvl w:val="0"/>
          <w:numId w:val="1"/>
        </w:numPr>
        <w:spacing w:lineRule="auto" w:line="240" w:before="0" w:after="0"/>
        <w:ind w:left="-66" w:hanging="360"/>
        <w:jc w:val="both"/>
        <w:rPr>
          <w:rFonts w:ascii="Arial" w:hAnsi="Arial" w:eastAsia="Arial" w:cs="Arial"/>
        </w:rPr>
      </w:pPr>
      <w:r>
        <w:rPr>
          <w:rFonts w:eastAsia="Arial" w:cs="Arial" w:ascii="Arial" w:hAnsi="Arial"/>
        </w:rPr>
        <w:t>Des doubles terrains de 3x3 ;</w:t>
      </w:r>
    </w:p>
    <w:p>
      <w:pPr>
        <w:pStyle w:val="LOnormal"/>
        <w:numPr>
          <w:ilvl w:val="0"/>
          <w:numId w:val="1"/>
        </w:numPr>
        <w:spacing w:lineRule="auto" w:line="240" w:before="0" w:after="0"/>
        <w:ind w:left="-66" w:hanging="360"/>
        <w:jc w:val="both"/>
        <w:rPr>
          <w:rFonts w:ascii="Arial" w:hAnsi="Arial" w:eastAsia="Arial" w:cs="Arial"/>
        </w:rPr>
      </w:pPr>
      <w:r>
        <w:rPr>
          <w:rFonts w:eastAsia="Arial" w:cs="Arial" w:ascii="Arial" w:hAnsi="Arial"/>
        </w:rPr>
        <w:t>Des terrains de 5x5 avec identification des deux terrains de 3x3 (ligne à 11 mètres).</w:t>
      </w:r>
    </w:p>
    <w:p>
      <w:pPr>
        <w:pStyle w:val="LOnormal"/>
        <w:spacing w:lineRule="auto" w:line="240" w:before="0" w:after="0"/>
        <w:jc w:val="both"/>
        <w:rPr>
          <w:rFonts w:ascii="Arial" w:hAnsi="Arial" w:eastAsia="Arial" w:cs="Arial"/>
        </w:rPr>
      </w:pPr>
      <w:r>
        <w:rPr>
          <w:rFonts w:eastAsia="Arial" w:cs="Arial" w:ascii="Arial" w:hAnsi="Arial"/>
        </w:rPr>
      </w:r>
    </w:p>
    <w:p>
      <w:pPr>
        <w:pStyle w:val="LOnormal"/>
        <w:spacing w:lineRule="auto" w:line="240" w:before="0" w:after="0"/>
        <w:jc w:val="both"/>
        <w:rPr>
          <w:rFonts w:ascii="Arial" w:hAnsi="Arial" w:eastAsia="Arial" w:cs="Arial"/>
        </w:rPr>
      </w:pPr>
      <w:r>
        <w:rPr>
          <w:rFonts w:eastAsia="Arial" w:cs="Arial" w:ascii="Arial" w:hAnsi="Arial"/>
        </w:rPr>
      </w:r>
    </w:p>
    <w:p>
      <w:pPr>
        <w:pStyle w:val="LOnormal"/>
        <w:spacing w:lineRule="auto" w:line="240" w:before="0" w:after="0"/>
        <w:jc w:val="both"/>
        <w:rPr>
          <w:rFonts w:ascii="Arial" w:hAnsi="Arial" w:eastAsia="Arial" w:cs="Arial"/>
        </w:rPr>
      </w:pPr>
      <w:r>
        <w:rPr>
          <w:rFonts w:eastAsia="Arial" w:cs="Arial" w:ascii="Arial" w:hAnsi="Arial"/>
        </w:rPr>
      </w:r>
    </w:p>
    <w:p>
      <w:pPr>
        <w:pStyle w:val="LOnormal"/>
        <w:spacing w:lineRule="auto" w:line="240" w:before="0" w:after="0"/>
        <w:jc w:val="both"/>
        <w:rPr>
          <w:rFonts w:ascii="Arial" w:hAnsi="Arial" w:eastAsia="Arial" w:cs="Arial"/>
        </w:rPr>
      </w:pPr>
      <w:r>
        <w:rPr>
          <w:rFonts w:eastAsia="Arial" w:cs="Arial" w:ascii="Arial" w:hAnsi="Arial"/>
        </w:rPr>
      </w:r>
    </w:p>
    <w:p>
      <w:pPr>
        <w:pStyle w:val="LOnormal"/>
        <w:spacing w:lineRule="auto" w:line="240" w:before="0" w:after="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b/>
          <w:b/>
          <w:u w:val="single"/>
        </w:rPr>
      </w:pPr>
      <w:r>
        <w:rPr>
          <w:rFonts w:eastAsia="Arial" w:cs="Arial" w:ascii="Arial" w:hAnsi="Arial"/>
          <w:b/>
          <w:u w:val="single"/>
        </w:rPr>
        <w:t>2°) L’organisation du classement des salles et terrains</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La fédération a donné compétence aux Comités via leur Commission Départementale Equipements pour réaliser le classement des salles et terrains. Seul le niveau H3 reste une compétence fédérale même si la Commission Fédérale Equipements s’appuie presque systématiquement sur sa CDE.</w:t>
      </w:r>
    </w:p>
    <w:p>
      <w:pPr>
        <w:pStyle w:val="LOnormal"/>
        <w:spacing w:lineRule="auto" w:line="240" w:before="0" w:after="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Afin de préparer ou d’actualiser le classement de sa salle (ou de son terrain), il convient de préparer la visite de la CDE en transmettant au préalable une copie :</w:t>
      </w:r>
    </w:p>
    <w:p>
      <w:pPr>
        <w:pStyle w:val="LOnormal"/>
        <w:numPr>
          <w:ilvl w:val="0"/>
          <w:numId w:val="3"/>
        </w:numPr>
        <w:spacing w:lineRule="auto" w:line="240" w:before="0" w:after="0"/>
        <w:ind w:left="-66" w:hanging="360"/>
        <w:jc w:val="both"/>
        <w:rPr>
          <w:rFonts w:ascii="Arial" w:hAnsi="Arial" w:eastAsia="Arial" w:cs="Arial"/>
        </w:rPr>
      </w:pPr>
      <w:r>
        <w:rPr>
          <w:rFonts w:eastAsia="Arial" w:cs="Arial" w:ascii="Arial" w:hAnsi="Arial"/>
          <w:b/>
        </w:rPr>
        <w:t>a) du Procès-verbal de la ou des commissions de Sécurité concernée en cours de validité</w:t>
      </w:r>
      <w:r>
        <w:rPr>
          <w:rFonts w:eastAsia="Arial" w:cs="Arial" w:ascii="Arial" w:hAnsi="Arial"/>
        </w:rPr>
        <w:t>.</w:t>
      </w:r>
    </w:p>
    <w:p>
      <w:pPr>
        <w:pStyle w:val="LOnormal"/>
        <w:numPr>
          <w:ilvl w:val="1"/>
          <w:numId w:val="3"/>
        </w:numPr>
        <w:spacing w:lineRule="auto" w:line="240" w:before="0" w:after="0"/>
        <w:ind w:left="654" w:hanging="360"/>
        <w:jc w:val="both"/>
        <w:rPr>
          <w:rFonts w:ascii="Arial" w:hAnsi="Arial" w:eastAsia="Arial" w:cs="Arial"/>
          <w:color w:val="C00000"/>
        </w:rPr>
      </w:pPr>
      <w:r>
        <w:rPr>
          <w:rFonts w:eastAsia="Arial" w:cs="Arial" w:ascii="Arial" w:hAnsi="Arial"/>
          <w:color w:val="C00000"/>
        </w:rPr>
        <w:t xml:space="preserve">Ce document est à renouveler régulièrement, </w:t>
      </w:r>
      <w:r>
        <w:rPr>
          <w:rFonts w:eastAsia="Arial" w:cs="Arial" w:ascii="Arial" w:hAnsi="Arial"/>
          <w:b/>
          <w:color w:val="C00000"/>
        </w:rPr>
        <w:t>la périodicité dépend du type et de la catégorie de l’équipement</w:t>
      </w:r>
      <w:r>
        <w:rPr>
          <w:rFonts w:eastAsia="Arial" w:cs="Arial" w:ascii="Arial" w:hAnsi="Arial"/>
          <w:color w:val="C00000"/>
        </w:rPr>
        <w:t>.</w:t>
      </w:r>
    </w:p>
    <w:p>
      <w:pPr>
        <w:pStyle w:val="LOnormal"/>
        <w:numPr>
          <w:ilvl w:val="0"/>
          <w:numId w:val="3"/>
        </w:numPr>
        <w:spacing w:lineRule="auto" w:line="240" w:before="0" w:after="0"/>
        <w:ind w:left="-66" w:hanging="360"/>
        <w:jc w:val="both"/>
        <w:rPr>
          <w:rFonts w:ascii="Arial" w:hAnsi="Arial" w:eastAsia="Arial" w:cs="Arial"/>
        </w:rPr>
      </w:pPr>
      <w:r>
        <w:rPr>
          <w:rFonts w:eastAsia="Arial" w:cs="Arial" w:ascii="Arial" w:hAnsi="Arial"/>
          <w:b/>
        </w:rPr>
        <w:t xml:space="preserve">b) du registre des vérifications et résultats des essais </w:t>
      </w:r>
      <w:r>
        <w:rPr>
          <w:rFonts w:eastAsia="Arial" w:cs="Arial" w:ascii="Arial" w:hAnsi="Arial"/>
          <w:b/>
          <w:u w:val="single"/>
        </w:rPr>
        <w:t xml:space="preserve">sous charges </w:t>
      </w:r>
      <w:r>
        <w:rPr>
          <w:rFonts w:eastAsia="Arial" w:cs="Arial" w:ascii="Arial" w:hAnsi="Arial"/>
          <w:b/>
        </w:rPr>
        <w:t xml:space="preserve">des panneaux en cours de validité </w:t>
      </w:r>
      <w:r>
        <w:rPr>
          <w:rFonts w:eastAsia="Arial" w:cs="Arial" w:ascii="Arial" w:hAnsi="Arial"/>
          <w:i/>
        </w:rPr>
        <w:t>(Articles R322-19 à R322-26 du code du sport modifiés par Décret n° 2016-481 du 18 avril 2016)</w:t>
      </w:r>
      <w:r>
        <w:rPr>
          <w:rFonts w:eastAsia="Arial" w:cs="Arial" w:ascii="Arial" w:hAnsi="Arial"/>
        </w:rPr>
        <w:t>.</w:t>
      </w:r>
    </w:p>
    <w:p>
      <w:pPr>
        <w:pStyle w:val="LOnormal"/>
        <w:numPr>
          <w:ilvl w:val="1"/>
          <w:numId w:val="3"/>
        </w:numPr>
        <w:spacing w:lineRule="auto" w:line="240" w:before="0" w:after="0"/>
        <w:ind w:left="654" w:hanging="360"/>
        <w:jc w:val="both"/>
        <w:rPr>
          <w:rFonts w:ascii="Arial" w:hAnsi="Arial" w:eastAsia="Arial" w:cs="Arial"/>
          <w:color w:val="C00000"/>
        </w:rPr>
      </w:pPr>
      <w:r>
        <w:rPr>
          <w:rFonts w:eastAsia="Arial" w:cs="Arial" w:ascii="Arial" w:hAnsi="Arial"/>
          <w:b/>
          <w:color w:val="C00000"/>
        </w:rPr>
        <w:t xml:space="preserve">Ce document est à renouveler obligatoirement tous les deux ans. </w:t>
      </w:r>
    </w:p>
    <w:p>
      <w:pPr>
        <w:pStyle w:val="LOnormal"/>
        <w:numPr>
          <w:ilvl w:val="0"/>
          <w:numId w:val="3"/>
        </w:numPr>
        <w:spacing w:lineRule="auto" w:line="240" w:before="0" w:after="0"/>
        <w:ind w:left="-66" w:hanging="360"/>
        <w:jc w:val="both"/>
        <w:rPr>
          <w:rFonts w:ascii="Arial" w:hAnsi="Arial" w:eastAsia="Arial" w:cs="Arial"/>
        </w:rPr>
      </w:pPr>
      <w:r>
        <w:rPr>
          <w:rFonts w:eastAsia="Arial" w:cs="Arial" w:ascii="Arial" w:hAnsi="Arial"/>
          <w:b/>
        </w:rPr>
        <w:t xml:space="preserve">c) des plans des installations existantes </w:t>
      </w:r>
      <w:r>
        <w:rPr>
          <w:rFonts w:eastAsia="Arial" w:cs="Arial" w:ascii="Arial" w:hAnsi="Arial"/>
        </w:rPr>
        <w:t>comprenant :</w:t>
      </w:r>
    </w:p>
    <w:p>
      <w:pPr>
        <w:pStyle w:val="LOnormal"/>
        <w:numPr>
          <w:ilvl w:val="1"/>
          <w:numId w:val="3"/>
        </w:numPr>
        <w:spacing w:lineRule="auto" w:line="240" w:before="0" w:after="0"/>
        <w:ind w:left="654" w:hanging="360"/>
        <w:jc w:val="both"/>
        <w:rPr>
          <w:rFonts w:ascii="Arial" w:hAnsi="Arial" w:eastAsia="Arial" w:cs="Arial"/>
        </w:rPr>
      </w:pPr>
      <w:r>
        <w:rPr>
          <w:rFonts w:eastAsia="Arial" w:cs="Arial" w:ascii="Arial" w:hAnsi="Arial"/>
        </w:rPr>
        <w:t xml:space="preserve">Un plan d’ensemble représentant l’aire de jeu avec son tracé, les dégagements, les tribunes et leur accès. </w:t>
      </w:r>
    </w:p>
    <w:p>
      <w:pPr>
        <w:pStyle w:val="LOnormal"/>
        <w:numPr>
          <w:ilvl w:val="1"/>
          <w:numId w:val="3"/>
        </w:numPr>
        <w:spacing w:lineRule="auto" w:line="240" w:before="0" w:after="0"/>
        <w:ind w:left="654" w:hanging="360"/>
        <w:jc w:val="both"/>
        <w:rPr>
          <w:rFonts w:ascii="Arial" w:hAnsi="Arial" w:eastAsia="Arial" w:cs="Arial"/>
        </w:rPr>
      </w:pPr>
      <w:r>
        <w:rPr>
          <w:rFonts w:eastAsia="Arial" w:cs="Arial" w:ascii="Arial" w:hAnsi="Arial"/>
        </w:rPr>
        <w:t xml:space="preserve">Un plan de détail des vestiaires et douches. </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A réception de ces documents, la CDE pourra actualiser le classement si l’équipement était déjà classé ou convenir d’une visite permettant de renseigner un E-dossier de classement avec notamment :</w:t>
      </w:r>
    </w:p>
    <w:p>
      <w:pPr>
        <w:pStyle w:val="LOnormal"/>
        <w:numPr>
          <w:ilvl w:val="0"/>
          <w:numId w:val="3"/>
        </w:numPr>
        <w:spacing w:lineRule="auto" w:line="240" w:before="0" w:after="0"/>
        <w:ind w:left="-66" w:hanging="360"/>
        <w:jc w:val="both"/>
        <w:rPr>
          <w:rFonts w:ascii="Arial" w:hAnsi="Arial" w:eastAsia="Arial" w:cs="Arial"/>
        </w:rPr>
      </w:pPr>
      <w:r>
        <w:rPr>
          <w:rFonts w:eastAsia="Arial" w:cs="Arial" w:ascii="Arial" w:hAnsi="Arial"/>
        </w:rPr>
        <w:t>Les dimensions du terrain ;</w:t>
      </w:r>
    </w:p>
    <w:p>
      <w:pPr>
        <w:pStyle w:val="LOnormal"/>
        <w:numPr>
          <w:ilvl w:val="0"/>
          <w:numId w:val="3"/>
        </w:numPr>
        <w:spacing w:lineRule="auto" w:line="240" w:before="0" w:after="0"/>
        <w:ind w:left="-66" w:hanging="360"/>
        <w:jc w:val="both"/>
        <w:rPr>
          <w:rFonts w:ascii="Arial" w:hAnsi="Arial" w:eastAsia="Arial" w:cs="Arial"/>
        </w:rPr>
      </w:pPr>
      <w:r>
        <w:rPr>
          <w:rFonts w:eastAsia="Arial" w:cs="Arial" w:ascii="Arial" w:hAnsi="Arial"/>
        </w:rPr>
        <w:t>La vérification de l’intensité lumineuse ;</w:t>
      </w:r>
    </w:p>
    <w:p>
      <w:pPr>
        <w:pStyle w:val="LOnormal"/>
        <w:numPr>
          <w:ilvl w:val="0"/>
          <w:numId w:val="3"/>
        </w:numPr>
        <w:spacing w:lineRule="auto" w:line="240" w:before="0" w:after="0"/>
        <w:ind w:left="-66" w:hanging="360"/>
        <w:jc w:val="both"/>
        <w:rPr>
          <w:rFonts w:ascii="Arial" w:hAnsi="Arial" w:eastAsia="Arial" w:cs="Arial"/>
        </w:rPr>
      </w:pPr>
      <w:r>
        <w:rPr>
          <w:rFonts w:eastAsia="Arial" w:cs="Arial" w:ascii="Arial" w:hAnsi="Arial"/>
        </w:rPr>
        <w:t>Les équipements annexes nécessaires au classement H1 à H3.</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Nous vous remercions donc de bien vouloir nous transmettre ce(s) document(s) en cours de validité.</w:t>
      </w:r>
    </w:p>
    <w:p>
      <w:pPr>
        <w:pStyle w:val="LOnormal"/>
        <w:spacing w:lineRule="auto" w:line="240" w:before="0" w:after="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b/>
          <w:b/>
          <w:u w:val="single"/>
        </w:rPr>
      </w:pPr>
      <w:r>
        <w:rPr>
          <w:rFonts w:eastAsia="Arial" w:cs="Arial" w:ascii="Arial" w:hAnsi="Arial"/>
          <w:b/>
          <w:u w:val="single"/>
        </w:rPr>
        <w:t>3°) La gestion des demandes de dérogation</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Les demandes de dérogation instruites par la Commission Fédérale Equipements le sont uniquement si elles sont accompagnées :</w:t>
      </w:r>
    </w:p>
    <w:p>
      <w:pPr>
        <w:pStyle w:val="LOnormal"/>
        <w:numPr>
          <w:ilvl w:val="0"/>
          <w:numId w:val="3"/>
        </w:numPr>
        <w:spacing w:lineRule="auto" w:line="240" w:before="0" w:after="0"/>
        <w:ind w:left="-66" w:hanging="360"/>
        <w:jc w:val="both"/>
        <w:rPr>
          <w:rFonts w:ascii="Arial" w:hAnsi="Arial" w:eastAsia="Arial" w:cs="Arial"/>
          <w:color w:val="C00000"/>
        </w:rPr>
      </w:pPr>
      <w:r>
        <w:rPr>
          <w:rFonts w:eastAsia="Arial" w:cs="Arial" w:ascii="Arial" w:hAnsi="Arial"/>
          <w:b/>
        </w:rPr>
        <w:t>a) du Procès-verbal de la ou des commissions de Sécurité concernée en cours de validité</w:t>
      </w:r>
      <w:r>
        <w:rPr>
          <w:rFonts w:eastAsia="Arial" w:cs="Arial" w:ascii="Arial" w:hAnsi="Arial"/>
        </w:rPr>
        <w:t>.</w:t>
      </w:r>
    </w:p>
    <w:p>
      <w:pPr>
        <w:pStyle w:val="LOnormal"/>
        <w:numPr>
          <w:ilvl w:val="0"/>
          <w:numId w:val="3"/>
        </w:numPr>
        <w:spacing w:lineRule="auto" w:line="240" w:before="0" w:after="0"/>
        <w:ind w:left="-66" w:hanging="360"/>
        <w:jc w:val="both"/>
        <w:rPr>
          <w:rFonts w:ascii="Arial" w:hAnsi="Arial" w:eastAsia="Arial" w:cs="Arial"/>
        </w:rPr>
      </w:pPr>
      <w:r>
        <w:rPr>
          <w:rFonts w:eastAsia="Arial" w:cs="Arial" w:ascii="Arial" w:hAnsi="Arial"/>
          <w:b/>
        </w:rPr>
        <w:t xml:space="preserve">b) du registre des vérifications et résultats des essais </w:t>
      </w:r>
      <w:r>
        <w:rPr>
          <w:rFonts w:eastAsia="Arial" w:cs="Arial" w:ascii="Arial" w:hAnsi="Arial"/>
          <w:b/>
          <w:u w:val="single"/>
        </w:rPr>
        <w:t xml:space="preserve">sous charges </w:t>
      </w:r>
      <w:r>
        <w:rPr>
          <w:rFonts w:eastAsia="Arial" w:cs="Arial" w:ascii="Arial" w:hAnsi="Arial"/>
          <w:b/>
        </w:rPr>
        <w:t>des panneaux en cours de validité</w:t>
      </w:r>
    </w:p>
    <w:p>
      <w:pPr>
        <w:pStyle w:val="LOnormal"/>
        <w:numPr>
          <w:ilvl w:val="0"/>
          <w:numId w:val="3"/>
        </w:numPr>
        <w:spacing w:lineRule="auto" w:line="240" w:before="0" w:after="0"/>
        <w:ind w:left="-66" w:hanging="360"/>
        <w:jc w:val="both"/>
        <w:rPr>
          <w:rFonts w:ascii="Arial" w:hAnsi="Arial" w:eastAsia="Arial" w:cs="Arial"/>
        </w:rPr>
      </w:pPr>
      <w:r>
        <w:rPr>
          <w:rFonts w:eastAsia="Arial" w:cs="Arial" w:ascii="Arial" w:hAnsi="Arial"/>
          <w:b/>
        </w:rPr>
        <w:t>c) d’une justification du besoin</w:t>
      </w:r>
    </w:p>
    <w:p>
      <w:pPr>
        <w:pStyle w:val="LOnormal"/>
        <w:spacing w:lineRule="auto" w:line="240" w:before="0" w:after="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b/>
          <w:b/>
          <w:u w:val="single"/>
        </w:rPr>
      </w:pPr>
      <w:r>
        <w:rPr>
          <w:rFonts w:eastAsia="Arial" w:cs="Arial" w:ascii="Arial" w:hAnsi="Arial"/>
          <w:b/>
          <w:u w:val="single"/>
        </w:rPr>
        <w:t>4°) Conseils et préconisations techniques</w:t>
      </w:r>
    </w:p>
    <w:p>
      <w:pPr>
        <w:pStyle w:val="LOnormal"/>
        <w:spacing w:lineRule="auto" w:line="240" w:before="0" w:after="0"/>
        <w:ind w:left="-426" w:hanging="0"/>
        <w:jc w:val="both"/>
        <w:rPr>
          <w:rFonts w:ascii="Arial" w:hAnsi="Arial" w:eastAsia="Arial" w:cs="Arial"/>
        </w:rPr>
      </w:pPr>
      <w:r>
        <w:rPr>
          <w:rFonts w:eastAsia="Arial" w:cs="Arial" w:ascii="Arial" w:hAnsi="Arial"/>
        </w:rPr>
      </w:r>
    </w:p>
    <w:p>
      <w:pPr>
        <w:pStyle w:val="LOnormal"/>
        <w:spacing w:lineRule="auto" w:line="240" w:before="0" w:after="0"/>
        <w:ind w:left="-426" w:hanging="0"/>
        <w:jc w:val="both"/>
        <w:rPr>
          <w:rFonts w:ascii="Arial" w:hAnsi="Arial" w:eastAsia="Arial" w:cs="Arial"/>
        </w:rPr>
      </w:pPr>
      <w:r>
        <w:rPr>
          <w:rFonts w:eastAsia="Arial" w:cs="Arial" w:ascii="Arial" w:hAnsi="Arial"/>
        </w:rPr>
        <w:t xml:space="preserve">La CDE a un rôle de conseil et d’accompagnement auprès de vous pour la réalisation ou mise aux normes des équipements sportifs. A ce titre, la FFBB a édité un </w:t>
      </w:r>
      <w:hyperlink r:id="rId3">
        <w:r>
          <w:rPr>
            <w:rFonts w:eastAsia="Arial" w:cs="Arial" w:ascii="Arial" w:hAnsi="Arial"/>
            <w:color w:val="0000FF"/>
            <w:u w:val="single"/>
          </w:rPr>
          <w:t>guide des préconisations techniques</w:t>
        </w:r>
      </w:hyperlink>
      <w:r>
        <w:rPr>
          <w:rFonts w:eastAsia="Arial" w:cs="Arial" w:ascii="Arial" w:hAnsi="Arial"/>
        </w:rPr>
        <w:t xml:space="preserve"> qui regroupe l'ensemble des informations essentielles pour un projet d'installation basket. La mission du développement des lieux de pratique de la FFBB (</w:t>
      </w:r>
      <w:hyperlink r:id="rId4">
        <w:r>
          <w:rPr>
            <w:rFonts w:eastAsia="Arial" w:cs="Arial" w:ascii="Arial" w:hAnsi="Arial"/>
            <w:color w:val="0000FF"/>
            <w:u w:val="single"/>
          </w:rPr>
          <w:t>mission INFRA</w:t>
        </w:r>
      </w:hyperlink>
      <w:r>
        <w:rPr>
          <w:rFonts w:eastAsia="Arial" w:cs="Arial" w:ascii="Arial" w:hAnsi="Arial"/>
        </w:rPr>
        <w:t>) reste aussi à votre écoute pour toute question (</w:t>
      </w:r>
      <w:hyperlink r:id="rId5">
        <w:r>
          <w:rPr>
            <w:rFonts w:eastAsia="Arial" w:cs="Arial" w:ascii="Arial" w:hAnsi="Arial"/>
            <w:color w:val="0000FF"/>
            <w:u w:val="single"/>
          </w:rPr>
          <w:t>infra@ffbb.com</w:t>
        </w:r>
        <w:r>
          <w:drawing>
            <wp:anchor behindDoc="0" distT="0" distB="0" distL="114300" distR="114300" simplePos="0" locked="0" layoutInCell="0" allowOverlap="1" relativeHeight="2">
              <wp:simplePos x="0" y="0"/>
              <wp:positionH relativeFrom="column">
                <wp:posOffset>4762500</wp:posOffset>
              </wp:positionH>
              <wp:positionV relativeFrom="paragraph">
                <wp:posOffset>8890</wp:posOffset>
              </wp:positionV>
              <wp:extent cx="998220" cy="998220"/>
              <wp:effectExtent l="0" t="0" r="0" b="0"/>
              <wp:wrapSquare wrapText="bothSides"/>
              <wp:docPr id="2" name="image1.png" descr="Une image contenant texte, motif, Graphique, Bleu Majore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Une image contenant texte, motif, Graphique, Bleu Majorelle&#10;&#10;Description générée automatiquement"/>
                      <pic:cNvPicPr>
                        <a:picLocks noChangeAspect="1" noChangeArrowheads="1"/>
                      </pic:cNvPicPr>
                    </pic:nvPicPr>
                    <pic:blipFill>
                      <a:blip r:embed="rId6"/>
                      <a:stretch>
                        <a:fillRect/>
                      </a:stretch>
                    </pic:blipFill>
                    <pic:spPr bwMode="auto">
                      <a:xfrm>
                        <a:off x="0" y="0"/>
                        <a:ext cx="998220" cy="998220"/>
                      </a:xfrm>
                      <a:prstGeom prst="rect">
                        <a:avLst/>
                      </a:prstGeom>
                    </pic:spPr>
                  </pic:pic>
                </a:graphicData>
              </a:graphic>
            </wp:anchor>
          </w:drawing>
        </w:r>
      </w:hyperlink>
      <w:r>
        <w:rPr>
          <w:rFonts w:eastAsia="Arial" w:cs="Arial" w:ascii="Arial" w:hAnsi="Arial"/>
        </w:rPr>
        <w:t>).</w:t>
      </w:r>
    </w:p>
    <w:p>
      <w:pPr>
        <w:pStyle w:val="LOnormal"/>
        <w:spacing w:lineRule="auto" w:line="240" w:before="0" w:after="0"/>
        <w:jc w:val="both"/>
        <w:rPr>
          <w:rFonts w:ascii="Arial" w:hAnsi="Arial" w:eastAsia="Arial" w:cs="Arial"/>
        </w:rPr>
      </w:pPr>
      <w:r>
        <w:rPr>
          <w:rFonts w:eastAsia="Arial" w:cs="Arial" w:ascii="Arial" w:hAnsi="Arial"/>
        </w:rPr>
      </w:r>
    </w:p>
    <w:p>
      <w:pPr>
        <w:pStyle w:val="LOnormal"/>
        <w:spacing w:lineRule="auto" w:line="240" w:before="0" w:after="0"/>
        <w:jc w:val="both"/>
        <w:rPr>
          <w:rFonts w:ascii="Arial" w:hAnsi="Arial" w:eastAsia="Arial" w:cs="Arial"/>
        </w:rPr>
      </w:pPr>
      <w:r>
        <w:rPr>
          <w:rFonts w:eastAsia="Arial" w:cs="Arial" w:ascii="Arial" w:hAnsi="Arial"/>
        </w:rPr>
      </w:r>
    </w:p>
    <w:p>
      <w:pPr>
        <w:pStyle w:val="LOnormal"/>
        <w:widowControl/>
        <w:bidi w:val="0"/>
        <w:spacing w:lineRule="auto" w:line="259" w:before="0" w:after="160"/>
        <w:jc w:val="left"/>
        <w:rPr/>
      </w:pPr>
      <w:r>
        <w:rPr>
          <w:rFonts w:eastAsia="Arial" w:cs="Arial" w:ascii="Arial" w:hAnsi="Arial"/>
        </w:rPr>
        <w:t>Nous vous prions de recevoir,</w:t>
      </w:r>
      <w:r>
        <w:rPr>
          <w:rFonts w:eastAsia="Arial" w:cs="Arial" w:ascii="Arial" w:hAnsi="Arial"/>
          <w:shd w:fill="FFFF00" w:val="clear"/>
        </w:rPr>
        <w:t xml:space="preserve"> Civilité</w:t>
      </w:r>
      <w:r>
        <w:rPr>
          <w:rFonts w:eastAsia="Arial" w:cs="Arial" w:ascii="Arial" w:hAnsi="Arial"/>
        </w:rPr>
        <w:t>, nos salutations</w:t>
      </w:r>
    </w:p>
    <w:sectPr>
      <w:type w:val="nextPage"/>
      <w:pgSz w:w="11906" w:h="16838"/>
      <w:pgMar w:left="1417" w:right="1417" w:gutter="0" w:header="0" w:top="1417" w:footer="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swiss"/>
    <w:pitch w:val="variable"/>
  </w:font>
  <w:font w:name="Aptos Display">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 w:name="Courier New">
    <w:charset w:val="01"/>
    <w:family w:val="modern"/>
    <w:pitch w:val="fixed"/>
  </w:font>
  <w:font w:name="Noto Sans Symbols">
    <w:charset w:val="01"/>
    <w:family w:val="swiss"/>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bullet"/>
      <w:lvlText w:val="-"/>
      <w:lvlJc w:val="left"/>
      <w:pPr>
        <w:tabs>
          <w:tab w:val="num" w:pos="0"/>
        </w:tabs>
        <w:ind w:left="-66" w:hanging="360"/>
      </w:pPr>
      <w:rPr>
        <w:rFonts w:ascii="Arial" w:hAnsi="Arial" w:cs="Arial" w:hint="default"/>
      </w:rPr>
    </w:lvl>
    <w:lvl w:ilvl="1">
      <w:start w:val="1"/>
      <w:numFmt w:val="bullet"/>
      <w:lvlText w:val="o"/>
      <w:lvlJc w:val="left"/>
      <w:pPr>
        <w:tabs>
          <w:tab w:val="num" w:pos="0"/>
        </w:tabs>
        <w:ind w:left="654" w:hanging="359"/>
      </w:pPr>
      <w:rPr>
        <w:rFonts w:ascii="Courier New" w:hAnsi="Courier New" w:cs="Courier New" w:hint="default"/>
      </w:rPr>
    </w:lvl>
    <w:lvl w:ilvl="2">
      <w:start w:val="1"/>
      <w:numFmt w:val="bullet"/>
      <w:lvlText w:val="▪"/>
      <w:lvlJc w:val="left"/>
      <w:pPr>
        <w:tabs>
          <w:tab w:val="num" w:pos="0"/>
        </w:tabs>
        <w:ind w:left="1374" w:hanging="360"/>
      </w:pPr>
      <w:rPr>
        <w:rFonts w:ascii="Noto Sans Symbols" w:hAnsi="Noto Sans Symbols" w:cs="Noto Sans Symbols" w:hint="default"/>
      </w:rPr>
    </w:lvl>
    <w:lvl w:ilvl="3">
      <w:start w:val="1"/>
      <w:numFmt w:val="bullet"/>
      <w:lvlText w:val="●"/>
      <w:lvlJc w:val="left"/>
      <w:pPr>
        <w:tabs>
          <w:tab w:val="num" w:pos="0"/>
        </w:tabs>
        <w:ind w:left="2094" w:hanging="360"/>
      </w:pPr>
      <w:rPr>
        <w:rFonts w:ascii="Noto Sans Symbols" w:hAnsi="Noto Sans Symbols" w:cs="Noto Sans Symbols" w:hint="default"/>
      </w:rPr>
    </w:lvl>
    <w:lvl w:ilvl="4">
      <w:start w:val="1"/>
      <w:numFmt w:val="bullet"/>
      <w:lvlText w:val="o"/>
      <w:lvlJc w:val="left"/>
      <w:pPr>
        <w:tabs>
          <w:tab w:val="num" w:pos="0"/>
        </w:tabs>
        <w:ind w:left="2814" w:hanging="360"/>
      </w:pPr>
      <w:rPr>
        <w:rFonts w:ascii="Courier New" w:hAnsi="Courier New" w:cs="Courier New" w:hint="default"/>
      </w:rPr>
    </w:lvl>
    <w:lvl w:ilvl="5">
      <w:start w:val="1"/>
      <w:numFmt w:val="bullet"/>
      <w:lvlText w:val="▪"/>
      <w:lvlJc w:val="left"/>
      <w:pPr>
        <w:tabs>
          <w:tab w:val="num" w:pos="0"/>
        </w:tabs>
        <w:ind w:left="3534" w:hanging="360"/>
      </w:pPr>
      <w:rPr>
        <w:rFonts w:ascii="Noto Sans Symbols" w:hAnsi="Noto Sans Symbols" w:cs="Noto Sans Symbols" w:hint="default"/>
      </w:rPr>
    </w:lvl>
    <w:lvl w:ilvl="6">
      <w:start w:val="1"/>
      <w:numFmt w:val="bullet"/>
      <w:lvlText w:val="●"/>
      <w:lvlJc w:val="left"/>
      <w:pPr>
        <w:tabs>
          <w:tab w:val="num" w:pos="0"/>
        </w:tabs>
        <w:ind w:left="4254" w:hanging="360"/>
      </w:pPr>
      <w:rPr>
        <w:rFonts w:ascii="Noto Sans Symbols" w:hAnsi="Noto Sans Symbols" w:cs="Noto Sans Symbols" w:hint="default"/>
      </w:rPr>
    </w:lvl>
    <w:lvl w:ilvl="7">
      <w:start w:val="1"/>
      <w:numFmt w:val="bullet"/>
      <w:lvlText w:val="o"/>
      <w:lvlJc w:val="left"/>
      <w:pPr>
        <w:tabs>
          <w:tab w:val="num" w:pos="0"/>
        </w:tabs>
        <w:ind w:left="4974" w:hanging="360"/>
      </w:pPr>
      <w:rPr>
        <w:rFonts w:ascii="Courier New" w:hAnsi="Courier New" w:cs="Courier New" w:hint="default"/>
      </w:rPr>
    </w:lvl>
    <w:lvl w:ilvl="8">
      <w:start w:val="1"/>
      <w:numFmt w:val="bullet"/>
      <w:lvlText w:val="▪"/>
      <w:lvlJc w:val="left"/>
      <w:pPr>
        <w:tabs>
          <w:tab w:val="num" w:pos="0"/>
        </w:tabs>
        <w:ind w:left="5694" w:hanging="360"/>
      </w:pPr>
      <w:rPr>
        <w:rFonts w:ascii="Noto Sans Symbols" w:hAnsi="Noto Sans Symbols" w:cs="Noto Sans Symbols" w:hint="default"/>
      </w:rPr>
    </w:lvl>
  </w:abstractNum>
  <w:abstractNum w:abstractNumId="2">
    <w:lvl w:ilvl="0">
      <w:numFmt w:val="bullet"/>
      <w:lvlText w:val="-"/>
      <w:lvlJc w:val="left"/>
      <w:pPr>
        <w:tabs>
          <w:tab w:val="num" w:pos="0"/>
        </w:tabs>
        <w:ind w:left="-66" w:hanging="360"/>
      </w:pPr>
      <w:rPr>
        <w:rFonts w:ascii="Arial" w:hAnsi="Arial" w:cs="Arial" w:hint="default"/>
      </w:rPr>
    </w:lvl>
    <w:lvl w:ilvl="1">
      <w:start w:val="1"/>
      <w:numFmt w:val="bullet"/>
      <w:lvlText w:val="o"/>
      <w:lvlJc w:val="left"/>
      <w:pPr>
        <w:tabs>
          <w:tab w:val="num" w:pos="0"/>
        </w:tabs>
        <w:ind w:left="654" w:hanging="359"/>
      </w:pPr>
      <w:rPr>
        <w:rFonts w:ascii="Courier New" w:hAnsi="Courier New" w:cs="Courier New" w:hint="default"/>
      </w:rPr>
    </w:lvl>
    <w:lvl w:ilvl="2">
      <w:start w:val="1"/>
      <w:numFmt w:val="bullet"/>
      <w:lvlText w:val="▪"/>
      <w:lvlJc w:val="left"/>
      <w:pPr>
        <w:tabs>
          <w:tab w:val="num" w:pos="0"/>
        </w:tabs>
        <w:ind w:left="1374" w:hanging="360"/>
      </w:pPr>
      <w:rPr>
        <w:rFonts w:ascii="Noto Sans Symbols" w:hAnsi="Noto Sans Symbols" w:cs="Noto Sans Symbols" w:hint="default"/>
      </w:rPr>
    </w:lvl>
    <w:lvl w:ilvl="3">
      <w:start w:val="1"/>
      <w:numFmt w:val="bullet"/>
      <w:lvlText w:val="●"/>
      <w:lvlJc w:val="left"/>
      <w:pPr>
        <w:tabs>
          <w:tab w:val="num" w:pos="0"/>
        </w:tabs>
        <w:ind w:left="2094" w:hanging="360"/>
      </w:pPr>
      <w:rPr>
        <w:rFonts w:ascii="Noto Sans Symbols" w:hAnsi="Noto Sans Symbols" w:cs="Noto Sans Symbols" w:hint="default"/>
      </w:rPr>
    </w:lvl>
    <w:lvl w:ilvl="4">
      <w:start w:val="1"/>
      <w:numFmt w:val="bullet"/>
      <w:lvlText w:val="o"/>
      <w:lvlJc w:val="left"/>
      <w:pPr>
        <w:tabs>
          <w:tab w:val="num" w:pos="0"/>
        </w:tabs>
        <w:ind w:left="2814" w:hanging="360"/>
      </w:pPr>
      <w:rPr>
        <w:rFonts w:ascii="Courier New" w:hAnsi="Courier New" w:cs="Courier New" w:hint="default"/>
      </w:rPr>
    </w:lvl>
    <w:lvl w:ilvl="5">
      <w:start w:val="1"/>
      <w:numFmt w:val="bullet"/>
      <w:lvlText w:val="▪"/>
      <w:lvlJc w:val="left"/>
      <w:pPr>
        <w:tabs>
          <w:tab w:val="num" w:pos="0"/>
        </w:tabs>
        <w:ind w:left="3534" w:hanging="360"/>
      </w:pPr>
      <w:rPr>
        <w:rFonts w:ascii="Noto Sans Symbols" w:hAnsi="Noto Sans Symbols" w:cs="Noto Sans Symbols" w:hint="default"/>
      </w:rPr>
    </w:lvl>
    <w:lvl w:ilvl="6">
      <w:start w:val="1"/>
      <w:numFmt w:val="bullet"/>
      <w:lvlText w:val="●"/>
      <w:lvlJc w:val="left"/>
      <w:pPr>
        <w:tabs>
          <w:tab w:val="num" w:pos="0"/>
        </w:tabs>
        <w:ind w:left="4254" w:hanging="360"/>
      </w:pPr>
      <w:rPr>
        <w:rFonts w:ascii="Noto Sans Symbols" w:hAnsi="Noto Sans Symbols" w:cs="Noto Sans Symbols" w:hint="default"/>
      </w:rPr>
    </w:lvl>
    <w:lvl w:ilvl="7">
      <w:start w:val="1"/>
      <w:numFmt w:val="bullet"/>
      <w:lvlText w:val="o"/>
      <w:lvlJc w:val="left"/>
      <w:pPr>
        <w:tabs>
          <w:tab w:val="num" w:pos="0"/>
        </w:tabs>
        <w:ind w:left="4974" w:hanging="360"/>
      </w:pPr>
      <w:rPr>
        <w:rFonts w:ascii="Courier New" w:hAnsi="Courier New" w:cs="Courier New" w:hint="default"/>
      </w:rPr>
    </w:lvl>
    <w:lvl w:ilvl="8">
      <w:start w:val="1"/>
      <w:numFmt w:val="bullet"/>
      <w:lvlText w:val="▪"/>
      <w:lvlJc w:val="left"/>
      <w:pPr>
        <w:tabs>
          <w:tab w:val="num" w:pos="0"/>
        </w:tabs>
        <w:ind w:left="5694" w:hanging="360"/>
      </w:pPr>
      <w:rPr>
        <w:rFonts w:ascii="Noto Sans Symbols" w:hAnsi="Noto Sans Symbols" w:cs="Noto Sans Symbols" w:hint="default"/>
      </w:rPr>
    </w:lvl>
  </w:abstractNum>
  <w:abstractNum w:abstractNumId="3">
    <w:lvl w:ilvl="0">
      <w:numFmt w:val="bullet"/>
      <w:lvlText w:val="-"/>
      <w:lvlJc w:val="left"/>
      <w:pPr>
        <w:tabs>
          <w:tab w:val="num" w:pos="0"/>
        </w:tabs>
        <w:ind w:left="-66" w:hanging="360"/>
      </w:pPr>
      <w:rPr>
        <w:rFonts w:ascii="Times New Roman" w:hAnsi="Times New Roman" w:cs="Times New Roman" w:hint="default"/>
      </w:rPr>
    </w:lvl>
    <w:lvl w:ilvl="1">
      <w:start w:val="1"/>
      <w:numFmt w:val="bullet"/>
      <w:lvlText w:val="o"/>
      <w:lvlJc w:val="left"/>
      <w:pPr>
        <w:tabs>
          <w:tab w:val="num" w:pos="0"/>
        </w:tabs>
        <w:ind w:left="654" w:hanging="359"/>
      </w:pPr>
      <w:rPr>
        <w:rFonts w:ascii="Courier New" w:hAnsi="Courier New" w:cs="Courier New" w:hint="default"/>
      </w:rPr>
    </w:lvl>
    <w:lvl w:ilvl="2">
      <w:start w:val="1"/>
      <w:numFmt w:val="bullet"/>
      <w:lvlText w:val="▪"/>
      <w:lvlJc w:val="left"/>
      <w:pPr>
        <w:tabs>
          <w:tab w:val="num" w:pos="0"/>
        </w:tabs>
        <w:ind w:left="1374" w:hanging="360"/>
      </w:pPr>
      <w:rPr>
        <w:rFonts w:ascii="Noto Sans Symbols" w:hAnsi="Noto Sans Symbols" w:cs="Noto Sans Symbols" w:hint="default"/>
      </w:rPr>
    </w:lvl>
    <w:lvl w:ilvl="3">
      <w:start w:val="1"/>
      <w:numFmt w:val="bullet"/>
      <w:lvlText w:val="●"/>
      <w:lvlJc w:val="left"/>
      <w:pPr>
        <w:tabs>
          <w:tab w:val="num" w:pos="0"/>
        </w:tabs>
        <w:ind w:left="2094" w:hanging="360"/>
      </w:pPr>
      <w:rPr>
        <w:rFonts w:ascii="Noto Sans Symbols" w:hAnsi="Noto Sans Symbols" w:cs="Noto Sans Symbols" w:hint="default"/>
      </w:rPr>
    </w:lvl>
    <w:lvl w:ilvl="4">
      <w:start w:val="1"/>
      <w:numFmt w:val="bullet"/>
      <w:lvlText w:val="o"/>
      <w:lvlJc w:val="left"/>
      <w:pPr>
        <w:tabs>
          <w:tab w:val="num" w:pos="0"/>
        </w:tabs>
        <w:ind w:left="2814" w:hanging="360"/>
      </w:pPr>
      <w:rPr>
        <w:rFonts w:ascii="Courier New" w:hAnsi="Courier New" w:cs="Courier New" w:hint="default"/>
      </w:rPr>
    </w:lvl>
    <w:lvl w:ilvl="5">
      <w:start w:val="1"/>
      <w:numFmt w:val="bullet"/>
      <w:lvlText w:val="▪"/>
      <w:lvlJc w:val="left"/>
      <w:pPr>
        <w:tabs>
          <w:tab w:val="num" w:pos="0"/>
        </w:tabs>
        <w:ind w:left="3534" w:hanging="360"/>
      </w:pPr>
      <w:rPr>
        <w:rFonts w:ascii="Noto Sans Symbols" w:hAnsi="Noto Sans Symbols" w:cs="Noto Sans Symbols" w:hint="default"/>
      </w:rPr>
    </w:lvl>
    <w:lvl w:ilvl="6">
      <w:start w:val="1"/>
      <w:numFmt w:val="bullet"/>
      <w:lvlText w:val="●"/>
      <w:lvlJc w:val="left"/>
      <w:pPr>
        <w:tabs>
          <w:tab w:val="num" w:pos="0"/>
        </w:tabs>
        <w:ind w:left="4254" w:hanging="360"/>
      </w:pPr>
      <w:rPr>
        <w:rFonts w:ascii="Noto Sans Symbols" w:hAnsi="Noto Sans Symbols" w:cs="Noto Sans Symbols" w:hint="default"/>
      </w:rPr>
    </w:lvl>
    <w:lvl w:ilvl="7">
      <w:start w:val="1"/>
      <w:numFmt w:val="bullet"/>
      <w:lvlText w:val="o"/>
      <w:lvlJc w:val="left"/>
      <w:pPr>
        <w:tabs>
          <w:tab w:val="num" w:pos="0"/>
        </w:tabs>
        <w:ind w:left="4974" w:hanging="360"/>
      </w:pPr>
      <w:rPr>
        <w:rFonts w:ascii="Courier New" w:hAnsi="Courier New" w:cs="Courier New" w:hint="default"/>
      </w:rPr>
    </w:lvl>
    <w:lvl w:ilvl="8">
      <w:start w:val="1"/>
      <w:numFmt w:val="bullet"/>
      <w:lvlText w:val="▪"/>
      <w:lvlJc w:val="left"/>
      <w:pPr>
        <w:tabs>
          <w:tab w:val="num" w:pos="0"/>
        </w:tabs>
        <w:ind w:left="5694"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1"/>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ptos"/>
        <w:sz w:val="22"/>
        <w:szCs w:val="22"/>
        <w:lang w:val="fr-FR"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Aptos" w:hAnsi="Aptos" w:eastAsia="Aptos" w:cs="Aptos"/>
      <w:color w:val="auto"/>
      <w:kern w:val="0"/>
      <w:sz w:val="22"/>
      <w:szCs w:val="22"/>
      <w:lang w:val="fr-FR" w:eastAsia="zh-CN" w:bidi="hi-IN"/>
    </w:rPr>
  </w:style>
  <w:style w:type="paragraph" w:styleId="Titre1">
    <w:name w:val="Heading 1"/>
    <w:basedOn w:val="LOnormal"/>
    <w:next w:val="LOnormal"/>
    <w:link w:val="Titre1Car"/>
    <w:uiPriority w:val="9"/>
    <w:qFormat/>
    <w:rsid w:val="00de7a62"/>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LOnormal"/>
    <w:next w:val="LOnormal"/>
    <w:link w:val="Titre2Car"/>
    <w:uiPriority w:val="9"/>
    <w:semiHidden/>
    <w:unhideWhenUsed/>
    <w:qFormat/>
    <w:rsid w:val="00de7a62"/>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LOnormal"/>
    <w:next w:val="LOnormal"/>
    <w:link w:val="Titre3Car"/>
    <w:uiPriority w:val="9"/>
    <w:semiHidden/>
    <w:unhideWhenUsed/>
    <w:qFormat/>
    <w:rsid w:val="00de7a62"/>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LOnormal"/>
    <w:next w:val="LOnormal"/>
    <w:link w:val="Titre4Car"/>
    <w:uiPriority w:val="9"/>
    <w:semiHidden/>
    <w:unhideWhenUsed/>
    <w:qFormat/>
    <w:rsid w:val="00de7a62"/>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LOnormal"/>
    <w:next w:val="LOnormal"/>
    <w:link w:val="Titre5Car"/>
    <w:uiPriority w:val="9"/>
    <w:semiHidden/>
    <w:unhideWhenUsed/>
    <w:qFormat/>
    <w:rsid w:val="00de7a62"/>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LOnormal"/>
    <w:next w:val="LOnormal"/>
    <w:link w:val="Titre6Car"/>
    <w:uiPriority w:val="9"/>
    <w:semiHidden/>
    <w:unhideWhenUsed/>
    <w:qFormat/>
    <w:rsid w:val="00de7a62"/>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LOnormal"/>
    <w:next w:val="LOnormal"/>
    <w:link w:val="Titre7Car"/>
    <w:uiPriority w:val="9"/>
    <w:semiHidden/>
    <w:unhideWhenUsed/>
    <w:qFormat/>
    <w:rsid w:val="00de7a62"/>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LOnormal"/>
    <w:next w:val="LOnormal"/>
    <w:link w:val="Titre8Car"/>
    <w:uiPriority w:val="9"/>
    <w:semiHidden/>
    <w:unhideWhenUsed/>
    <w:qFormat/>
    <w:rsid w:val="00de7a62"/>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LOnormal"/>
    <w:next w:val="LOnormal"/>
    <w:link w:val="Titre9Car"/>
    <w:uiPriority w:val="9"/>
    <w:semiHidden/>
    <w:unhideWhenUsed/>
    <w:qFormat/>
    <w:rsid w:val="00de7a62"/>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de7a62"/>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uiPriority w:val="9"/>
    <w:semiHidden/>
    <w:qFormat/>
    <w:rsid w:val="00de7a62"/>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uiPriority w:val="9"/>
    <w:semiHidden/>
    <w:qFormat/>
    <w:rsid w:val="00de7a62"/>
    <w:rPr>
      <w:rFonts w:eastAsia="" w:cs="" w:cstheme="majorBidi" w:eastAsiaTheme="majorEastAsia"/>
      <w:color w:val="0F4761" w:themeColor="accent1" w:themeShade="bf"/>
      <w:sz w:val="28"/>
      <w:szCs w:val="28"/>
    </w:rPr>
  </w:style>
  <w:style w:type="character" w:styleId="Titre4Car" w:customStyle="1">
    <w:name w:val="Titre 4 Car"/>
    <w:basedOn w:val="DefaultParagraphFont"/>
    <w:uiPriority w:val="9"/>
    <w:semiHidden/>
    <w:qFormat/>
    <w:rsid w:val="00de7a62"/>
    <w:rPr>
      <w:rFonts w:eastAsia="" w:cs="" w:cstheme="majorBidi" w:eastAsiaTheme="majorEastAsia"/>
      <w:i/>
      <w:iCs/>
      <w:color w:val="0F4761" w:themeColor="accent1" w:themeShade="bf"/>
    </w:rPr>
  </w:style>
  <w:style w:type="character" w:styleId="Titre5Car" w:customStyle="1">
    <w:name w:val="Titre 5 Car"/>
    <w:basedOn w:val="DefaultParagraphFont"/>
    <w:uiPriority w:val="9"/>
    <w:semiHidden/>
    <w:qFormat/>
    <w:rsid w:val="00de7a62"/>
    <w:rPr>
      <w:rFonts w:eastAsia="" w:cs="" w:cstheme="majorBidi" w:eastAsiaTheme="majorEastAsia"/>
      <w:color w:val="0F4761" w:themeColor="accent1" w:themeShade="bf"/>
    </w:rPr>
  </w:style>
  <w:style w:type="character" w:styleId="Titre6Car" w:customStyle="1">
    <w:name w:val="Titre 6 Car"/>
    <w:basedOn w:val="DefaultParagraphFont"/>
    <w:uiPriority w:val="9"/>
    <w:semiHidden/>
    <w:qFormat/>
    <w:rsid w:val="00de7a62"/>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de7a62"/>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de7a62"/>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de7a62"/>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de7a62"/>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de7a62"/>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de7a62"/>
    <w:rPr>
      <w:i/>
      <w:iCs/>
      <w:color w:val="404040" w:themeColor="text1" w:themeTint="bf"/>
    </w:rPr>
  </w:style>
  <w:style w:type="character" w:styleId="IntenseEmphasis">
    <w:name w:val="Intense Emphasis"/>
    <w:basedOn w:val="DefaultParagraphFont"/>
    <w:uiPriority w:val="21"/>
    <w:qFormat/>
    <w:rsid w:val="00de7a62"/>
    <w:rPr>
      <w:i/>
      <w:iCs/>
      <w:color w:val="0F4761" w:themeColor="accent1" w:themeShade="bf"/>
    </w:rPr>
  </w:style>
  <w:style w:type="character" w:styleId="CitationintenseCar" w:customStyle="1">
    <w:name w:val="Citation intense Car"/>
    <w:basedOn w:val="DefaultParagraphFont"/>
    <w:link w:val="IntenseQuote"/>
    <w:uiPriority w:val="30"/>
    <w:qFormat/>
    <w:rsid w:val="00de7a62"/>
    <w:rPr>
      <w:i/>
      <w:iCs/>
      <w:color w:val="0F4761" w:themeColor="accent1" w:themeShade="bf"/>
    </w:rPr>
  </w:style>
  <w:style w:type="character" w:styleId="IntenseReference">
    <w:name w:val="Intense Reference"/>
    <w:basedOn w:val="DefaultParagraphFont"/>
    <w:uiPriority w:val="32"/>
    <w:qFormat/>
    <w:rsid w:val="00de7a62"/>
    <w:rPr>
      <w:b/>
      <w:bCs/>
      <w:smallCaps/>
      <w:color w:val="0F4761" w:themeColor="accent1" w:themeShade="bf"/>
      <w:spacing w:val="5"/>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59" w:before="0" w:after="160"/>
      <w:jc w:val="left"/>
    </w:pPr>
    <w:rPr>
      <w:rFonts w:ascii="Aptos" w:hAnsi="Aptos" w:eastAsia="Aptos" w:cs="Aptos"/>
      <w:color w:val="auto"/>
      <w:kern w:val="0"/>
      <w:sz w:val="22"/>
      <w:szCs w:val="22"/>
      <w:lang w:val="fr-FR" w:eastAsia="zh-CN" w:bidi="hi-IN"/>
    </w:rPr>
  </w:style>
  <w:style w:type="paragraph" w:styleId="Titreprincipal">
    <w:name w:val="Title"/>
    <w:basedOn w:val="LOnormal"/>
    <w:next w:val="LOnormal"/>
    <w:link w:val="TitreCar"/>
    <w:uiPriority w:val="10"/>
    <w:qFormat/>
    <w:rsid w:val="00de7a6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LOnormal"/>
    <w:next w:val="LOnormal"/>
    <w:link w:val="SoustitreCar"/>
    <w:uiPriority w:val="11"/>
    <w:qFormat/>
    <w:rsid w:val="00de7a62"/>
    <w:pPr/>
    <w:rPr>
      <w:color w:val="595959"/>
      <w:sz w:val="28"/>
      <w:szCs w:val="28"/>
    </w:rPr>
  </w:style>
  <w:style w:type="paragraph" w:styleId="Quote">
    <w:name w:val="Quote"/>
    <w:basedOn w:val="LOnormal"/>
    <w:next w:val="LOnormal"/>
    <w:link w:val="CitationCar"/>
    <w:uiPriority w:val="29"/>
    <w:qFormat/>
    <w:rsid w:val="00de7a62"/>
    <w:pPr>
      <w:spacing w:before="160" w:after="160"/>
      <w:jc w:val="center"/>
    </w:pPr>
    <w:rPr>
      <w:i/>
      <w:iCs/>
      <w:color w:val="404040" w:themeColor="text1" w:themeTint="bf"/>
    </w:rPr>
  </w:style>
  <w:style w:type="paragraph" w:styleId="ListParagraph">
    <w:name w:val="List Paragraph"/>
    <w:basedOn w:val="LOnormal"/>
    <w:uiPriority w:val="34"/>
    <w:qFormat/>
    <w:rsid w:val="00de7a62"/>
    <w:pPr>
      <w:spacing w:before="0" w:after="160"/>
      <w:ind w:left="720" w:hanging="0"/>
      <w:contextualSpacing/>
    </w:pPr>
    <w:rPr/>
  </w:style>
  <w:style w:type="paragraph" w:styleId="IntenseQuote">
    <w:name w:val="Intense Quote"/>
    <w:basedOn w:val="LOnormal"/>
    <w:next w:val="LOnormal"/>
    <w:link w:val="CitationintenseCar"/>
    <w:uiPriority w:val="30"/>
    <w:qFormat/>
    <w:rsid w:val="00de7a6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Table Normal"/>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fbb.com/sites/default/files/2024-03-25_4-pct-infra-pep5000-preconisations_2024_vfin.pdf" TargetMode="External"/><Relationship Id="rId4" Type="http://schemas.openxmlformats.org/officeDocument/2006/relationships/hyperlink" Target="https://www.ffbb.com/ffbb/ffbb-2024/le-plan-infra" TargetMode="External"/><Relationship Id="rId5" Type="http://schemas.openxmlformats.org/officeDocument/2006/relationships/hyperlink" Target="mailto:infra@ffbb.com" TargetMode="External"/><Relationship Id="rId6" Type="http://schemas.openxmlformats.org/officeDocument/2006/relationships/image" Target="media/image2.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zEyRk09gB7g3Md0B2pqpvMTWmZQ==">CgMxLjAyCGguZ2pkZ3hzOAByITEtTTBlQTg0TXhhOG9mXy01OGxVS1k3eXVqRGdidmJWOQ==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TotalTime>
  <Application>LibreOffice/7.3.0.3$Windows_X86_64 LibreOffice_project/0f246aa12d0eee4a0f7adcefbf7c878fc2238db3</Application>
  <AppVersion>15.0000</AppVersion>
  <Pages>2</Pages>
  <Words>726</Words>
  <Characters>3799</Characters>
  <CharactersWithSpaces>4467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2024-06-28T05:08:00Z</dcterms:created>
  <dc:creator>DUBOIS Asta</dc:creator>
  <dc:description/>
  <dc:language>fr-FR</dc:language>
  <cp:lastModifiedBy/>
  <dcterms:modified xsi:type="dcterms:W3CDTF">2024-09-08T11:00:28Z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0x0101009148F5A04DDD49CBA7127AADA5FB792B00AADE34325A8B49CDA8BB4DB53328F214005DD1C3873EA5B649A2B81183C06B20F5</vt:lpwstr>
  </property>
  <property fmtid="{D5CDD505-2E9C-101B-9397-08002B2CF9AE}" pid="3" name="MediaServiceImageTags">
    <vt:lpwstr>MediaServiceImageTags</vt:lpwstr>
  </property>
</Properties>
</file>